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6C0" w:rsidRDefault="007A2B93">
      <w:pPr>
        <w:adjustRightInd w:val="0"/>
        <w:snapToGrid w:val="0"/>
        <w:spacing w:line="620" w:lineRule="atLeast"/>
        <w:ind w:firstLineChars="50" w:firstLine="180"/>
        <w:jc w:val="center"/>
        <w:rPr>
          <w:rFonts w:ascii="华文中宋" w:eastAsia="华文中宋" w:hAnsi="华文中宋"/>
          <w:b/>
          <w:sz w:val="36"/>
          <w:szCs w:val="36"/>
        </w:rPr>
      </w:pPr>
      <w:bookmarkStart w:id="0" w:name="_Toc502498680"/>
      <w:r>
        <w:rPr>
          <w:rFonts w:ascii="华文中宋" w:eastAsia="华文中宋" w:hAnsi="华文中宋" w:hint="eastAsia"/>
          <w:b/>
          <w:sz w:val="36"/>
          <w:szCs w:val="36"/>
        </w:rPr>
        <w:t>关于</w:t>
      </w:r>
      <w:r w:rsidR="00F2071D">
        <w:rPr>
          <w:rFonts w:ascii="华文中宋" w:eastAsia="华文中宋" w:hAnsi="华文中宋" w:hint="eastAsia"/>
          <w:b/>
          <w:sz w:val="36"/>
          <w:szCs w:val="36"/>
        </w:rPr>
        <w:t>《国有资产评估管理办法》</w:t>
      </w:r>
      <w:r w:rsidR="00314CF1" w:rsidRPr="00314CF1">
        <w:rPr>
          <w:rFonts w:ascii="华文中宋" w:eastAsia="华文中宋" w:hAnsi="华文中宋" w:hint="eastAsia"/>
          <w:b/>
          <w:sz w:val="36"/>
          <w:szCs w:val="36"/>
        </w:rPr>
        <w:t>（公开征求意见稿）</w:t>
      </w:r>
    </w:p>
    <w:p w:rsidR="00AE56C0" w:rsidRDefault="007A2B93">
      <w:pPr>
        <w:adjustRightInd w:val="0"/>
        <w:snapToGrid w:val="0"/>
        <w:spacing w:line="620" w:lineRule="atLeast"/>
        <w:ind w:firstLineChars="50" w:firstLine="180"/>
        <w:jc w:val="center"/>
        <w:rPr>
          <w:rFonts w:ascii="华文中宋" w:eastAsia="华文中宋" w:hAnsi="华文中宋"/>
          <w:b/>
          <w:sz w:val="36"/>
          <w:szCs w:val="36"/>
        </w:rPr>
      </w:pPr>
      <w:r>
        <w:rPr>
          <w:rFonts w:ascii="华文中宋" w:eastAsia="华文中宋" w:hAnsi="华文中宋" w:hint="eastAsia"/>
          <w:b/>
          <w:sz w:val="36"/>
          <w:szCs w:val="36"/>
        </w:rPr>
        <w:t>的</w:t>
      </w:r>
      <w:r w:rsidR="00F2071D">
        <w:rPr>
          <w:rFonts w:ascii="华文中宋" w:eastAsia="华文中宋" w:hAnsi="华文中宋" w:hint="eastAsia"/>
          <w:b/>
          <w:sz w:val="36"/>
          <w:szCs w:val="36"/>
        </w:rPr>
        <w:t>说明</w:t>
      </w:r>
    </w:p>
    <w:p w:rsidR="00AE56C0" w:rsidRDefault="00AE56C0" w:rsidP="00C93E2F">
      <w:pPr>
        <w:adjustRightInd w:val="0"/>
        <w:snapToGrid w:val="0"/>
        <w:spacing w:line="620" w:lineRule="atLeast"/>
        <w:ind w:firstLineChars="50" w:firstLine="161"/>
        <w:rPr>
          <w:rFonts w:ascii="仿宋_GB2312" w:eastAsia="仿宋_GB2312" w:hAnsi="华文中宋"/>
          <w:b/>
          <w:sz w:val="32"/>
          <w:szCs w:val="32"/>
        </w:rPr>
      </w:pPr>
      <w:bookmarkStart w:id="1" w:name="_GoBack"/>
      <w:bookmarkEnd w:id="1"/>
    </w:p>
    <w:p w:rsidR="00AE56C0" w:rsidRDefault="00F2071D">
      <w:pPr>
        <w:adjustRightInd w:val="0"/>
        <w:snapToGrid w:val="0"/>
        <w:spacing w:line="620" w:lineRule="atLeast"/>
        <w:ind w:firstLineChars="200" w:firstLine="640"/>
        <w:rPr>
          <w:rFonts w:ascii="仿宋_GB2312" w:eastAsia="仿宋_GB2312"/>
          <w:sz w:val="32"/>
          <w:szCs w:val="32"/>
        </w:rPr>
      </w:pPr>
      <w:r>
        <w:rPr>
          <w:rFonts w:ascii="仿宋_GB2312" w:eastAsia="仿宋_GB2312" w:hint="eastAsia"/>
          <w:sz w:val="32"/>
          <w:szCs w:val="32"/>
        </w:rPr>
        <w:t>为加强国有资产管理，规范国有资产评估行为，有效防止国有资产流失，根据</w:t>
      </w:r>
      <w:r>
        <w:rPr>
          <w:rFonts w:ascii="仿宋_GB2312" w:eastAsia="仿宋_GB2312" w:hAnsi="仿宋" w:cs="宋体" w:hint="eastAsia"/>
          <w:kern w:val="0"/>
          <w:sz w:val="32"/>
          <w:szCs w:val="32"/>
        </w:rPr>
        <w:t>《中华人民共和国企业国有资产法》（以下简称《企业国有资产法》）《中华人民共和国资产评估法》（以下简称《资产评估法》）</w:t>
      </w:r>
      <w:r>
        <w:rPr>
          <w:rFonts w:ascii="仿宋_GB2312" w:eastAsia="仿宋_GB2312" w:hint="eastAsia"/>
          <w:sz w:val="32"/>
          <w:szCs w:val="32"/>
        </w:rPr>
        <w:t>等法律、行政法规规定，我们对《国有资产评估管理办法》进行了修订。在广泛调研的基础上，形成了《国有资产评估管理办法》</w:t>
      </w:r>
      <w:r w:rsidR="00AF45DD" w:rsidRPr="00AF45DD">
        <w:rPr>
          <w:rFonts w:ascii="仿宋_GB2312" w:eastAsia="仿宋_GB2312" w:hint="eastAsia"/>
          <w:sz w:val="32"/>
          <w:szCs w:val="32"/>
        </w:rPr>
        <w:t>（公开征求意见稿）</w:t>
      </w:r>
      <w:r>
        <w:rPr>
          <w:rFonts w:ascii="仿宋_GB2312" w:eastAsia="仿宋_GB2312" w:hint="eastAsia"/>
          <w:sz w:val="32"/>
          <w:szCs w:val="32"/>
        </w:rPr>
        <w:t>。有关情况说明如下：</w:t>
      </w:r>
    </w:p>
    <w:p w:rsidR="00AE56C0" w:rsidRDefault="00F2071D">
      <w:pPr>
        <w:adjustRightInd w:val="0"/>
        <w:snapToGrid w:val="0"/>
        <w:spacing w:line="620" w:lineRule="atLeast"/>
        <w:ind w:firstLineChars="250" w:firstLine="800"/>
        <w:rPr>
          <w:rFonts w:ascii="黑体" w:eastAsia="黑体" w:hAnsi="黑体"/>
          <w:sz w:val="32"/>
          <w:szCs w:val="32"/>
        </w:rPr>
      </w:pPr>
      <w:r>
        <w:rPr>
          <w:rFonts w:ascii="黑体" w:eastAsia="黑体" w:hAnsi="黑体" w:hint="eastAsia"/>
          <w:sz w:val="32"/>
          <w:szCs w:val="32"/>
        </w:rPr>
        <w:t>一、修订的必要性</w:t>
      </w:r>
    </w:p>
    <w:p w:rsidR="00AE56C0" w:rsidRDefault="00F2071D">
      <w:pPr>
        <w:adjustRightInd w:val="0"/>
        <w:snapToGrid w:val="0"/>
        <w:spacing w:line="620" w:lineRule="atLeast"/>
        <w:ind w:firstLineChars="236" w:firstLine="755"/>
        <w:rPr>
          <w:rFonts w:ascii="仿宋_GB2312" w:eastAsia="仿宋_GB2312"/>
          <w:sz w:val="32"/>
          <w:szCs w:val="32"/>
        </w:rPr>
      </w:pPr>
      <w:r>
        <w:rPr>
          <w:rFonts w:ascii="仿宋_GB2312" w:eastAsia="仿宋_GB2312" w:hint="eastAsia"/>
          <w:sz w:val="32"/>
          <w:szCs w:val="32"/>
        </w:rPr>
        <w:t>1991年11月16日，国务院发布了《国有资产评估管理办法》（国务院令第91号，以下简称91号令）。91号令的贯彻执行，对于加强国有资产管理，规范资产评估行为，维护国有资产权益，防止国有资产流失，发挥了重要作用。</w:t>
      </w:r>
    </w:p>
    <w:p w:rsidR="00AE56C0" w:rsidRDefault="00F2071D">
      <w:pPr>
        <w:adjustRightInd w:val="0"/>
        <w:snapToGrid w:val="0"/>
        <w:spacing w:line="620" w:lineRule="atLeast"/>
        <w:ind w:firstLineChars="236" w:firstLine="755"/>
        <w:rPr>
          <w:rFonts w:ascii="仿宋_GB2312" w:eastAsia="仿宋_GB2312"/>
          <w:sz w:val="32"/>
          <w:szCs w:val="32"/>
        </w:rPr>
      </w:pPr>
      <w:r>
        <w:rPr>
          <w:rFonts w:ascii="仿宋_GB2312" w:eastAsia="仿宋_GB2312" w:hint="eastAsia"/>
          <w:sz w:val="32"/>
          <w:szCs w:val="32"/>
        </w:rPr>
        <w:t>91号令发布实施以来，国有资产监督管理体制机制经过多次变革，资产评估行业的管理模式也进行了重大调整，与国有资产评估相关的一系列法律法规相继出台。在新的历史时期，91号令已经不适应国有资产评估管理的需要。</w:t>
      </w:r>
      <w:r>
        <w:rPr>
          <w:rFonts w:ascii="仿宋_GB2312" w:eastAsia="仿宋_GB2312" w:hint="eastAsia"/>
          <w:b/>
          <w:sz w:val="32"/>
          <w:szCs w:val="32"/>
        </w:rPr>
        <w:t>一是需要</w:t>
      </w:r>
      <w:r>
        <w:rPr>
          <w:rFonts w:ascii="仿宋_GB2312" w:eastAsia="仿宋_GB2312" w:hint="eastAsia"/>
          <w:sz w:val="32"/>
          <w:szCs w:val="32"/>
        </w:rPr>
        <w:t>将国有资产评估改革发展成果和实践经验及时转换为制度规定，特别是简政放权改革成果、行业管理改革成果等。</w:t>
      </w:r>
      <w:r>
        <w:rPr>
          <w:rFonts w:ascii="仿宋_GB2312" w:eastAsia="仿宋_GB2312" w:hint="eastAsia"/>
          <w:b/>
          <w:sz w:val="32"/>
          <w:szCs w:val="32"/>
        </w:rPr>
        <w:t>二是需要</w:t>
      </w:r>
      <w:r>
        <w:rPr>
          <w:rFonts w:ascii="仿宋_GB2312" w:eastAsia="仿宋_GB2312" w:hint="eastAsia"/>
          <w:sz w:val="32"/>
          <w:szCs w:val="32"/>
        </w:rPr>
        <w:t>加强国有资产管理，有效防止国有资产流失。推动</w:t>
      </w:r>
      <w:r>
        <w:rPr>
          <w:rFonts w:ascii="仿宋_GB2312" w:eastAsia="仿宋_GB2312" w:hint="eastAsia"/>
          <w:sz w:val="32"/>
          <w:szCs w:val="32"/>
        </w:rPr>
        <w:lastRenderedPageBreak/>
        <w:t>经济体制改革和混合所有制改革，促进国有资产保值增值，推动国有资本做强做优做大。</w:t>
      </w:r>
      <w:r w:rsidRPr="00C93E2F">
        <w:rPr>
          <w:rFonts w:ascii="仿宋_GB2312" w:eastAsia="仿宋_GB2312" w:hint="eastAsia"/>
          <w:b/>
          <w:sz w:val="32"/>
          <w:szCs w:val="32"/>
        </w:rPr>
        <w:t>三是</w:t>
      </w:r>
      <w:r>
        <w:rPr>
          <w:rFonts w:ascii="仿宋_GB2312" w:eastAsia="仿宋_GB2312" w:hint="eastAsia"/>
          <w:b/>
          <w:sz w:val="32"/>
          <w:szCs w:val="32"/>
        </w:rPr>
        <w:t>需要</w:t>
      </w:r>
      <w:r>
        <w:rPr>
          <w:rFonts w:ascii="仿宋_GB2312" w:eastAsia="仿宋_GB2312" w:hint="eastAsia"/>
          <w:sz w:val="32"/>
          <w:szCs w:val="32"/>
        </w:rPr>
        <w:t>规范国有资产评估行为，提升资产评估专业服务能力。</w:t>
      </w:r>
    </w:p>
    <w:p w:rsidR="00AE56C0" w:rsidRDefault="00F2071D" w:rsidP="00C93E2F">
      <w:pPr>
        <w:adjustRightInd w:val="0"/>
        <w:snapToGrid w:val="0"/>
        <w:spacing w:line="620" w:lineRule="atLeast"/>
        <w:ind w:firstLineChars="200" w:firstLine="640"/>
        <w:rPr>
          <w:rFonts w:ascii="黑体" w:eastAsia="黑体" w:hAnsi="黑体"/>
          <w:sz w:val="32"/>
          <w:szCs w:val="32"/>
        </w:rPr>
      </w:pPr>
      <w:r>
        <w:rPr>
          <w:rFonts w:ascii="黑体" w:eastAsia="黑体" w:hAnsi="黑体" w:hint="eastAsia"/>
          <w:sz w:val="32"/>
          <w:szCs w:val="32"/>
        </w:rPr>
        <w:t>二、修订原则</w:t>
      </w:r>
    </w:p>
    <w:p w:rsidR="00AE56C0" w:rsidRDefault="00F2071D" w:rsidP="00C93E2F">
      <w:pPr>
        <w:adjustRightInd w:val="0"/>
        <w:snapToGrid w:val="0"/>
        <w:spacing w:line="620" w:lineRule="atLeast"/>
        <w:ind w:firstLineChars="196" w:firstLine="630"/>
        <w:rPr>
          <w:rFonts w:ascii="楷体_GB2312" w:eastAsia="楷体_GB2312"/>
          <w:b/>
          <w:sz w:val="32"/>
          <w:szCs w:val="32"/>
        </w:rPr>
      </w:pPr>
      <w:r>
        <w:rPr>
          <w:rFonts w:ascii="楷体_GB2312" w:eastAsia="楷体_GB2312" w:hint="eastAsia"/>
          <w:b/>
          <w:sz w:val="32"/>
          <w:szCs w:val="32"/>
        </w:rPr>
        <w:t>（一）坚持深化“放管服”改革。</w:t>
      </w:r>
    </w:p>
    <w:p w:rsidR="00AE56C0" w:rsidRDefault="00F2071D">
      <w:pPr>
        <w:adjustRightInd w:val="0"/>
        <w:snapToGrid w:val="0"/>
        <w:spacing w:line="620" w:lineRule="atLeast"/>
        <w:ind w:firstLineChars="200" w:firstLine="640"/>
        <w:rPr>
          <w:rFonts w:ascii="仿宋_GB2312" w:eastAsia="仿宋_GB2312"/>
          <w:sz w:val="32"/>
          <w:szCs w:val="32"/>
        </w:rPr>
      </w:pPr>
      <w:r>
        <w:rPr>
          <w:rFonts w:ascii="仿宋_GB2312" w:eastAsia="仿宋_GB2312" w:hint="eastAsia"/>
          <w:sz w:val="32"/>
          <w:szCs w:val="32"/>
        </w:rPr>
        <w:t>简政放权、放管结合、优化服务改革是推动政府职能深刻转变、极大激发市场活力的战略举措。91号令的修订根据国务院关于推进“放管服”改革的要求，按照放得下、接得住、管得好的原则，推进国有资产评估“放管服”改革落地生效。既要体现简政放权，放出活力和动力，又要创新监管方式，加强事中事后监管，加快政府职能深刻转变，推动国有资本做强做优做大和国有经济持续健康发展。</w:t>
      </w:r>
    </w:p>
    <w:p w:rsidR="00AE56C0" w:rsidRDefault="00F2071D" w:rsidP="00C93E2F">
      <w:pPr>
        <w:adjustRightInd w:val="0"/>
        <w:snapToGrid w:val="0"/>
        <w:spacing w:line="620" w:lineRule="atLeast"/>
        <w:ind w:firstLineChars="200" w:firstLine="643"/>
        <w:rPr>
          <w:rFonts w:ascii="楷体_GB2312" w:eastAsia="楷体_GB2312"/>
          <w:b/>
          <w:sz w:val="32"/>
          <w:szCs w:val="32"/>
        </w:rPr>
      </w:pPr>
      <w:r>
        <w:rPr>
          <w:rFonts w:ascii="楷体_GB2312" w:eastAsia="楷体_GB2312" w:hint="eastAsia"/>
          <w:b/>
          <w:sz w:val="32"/>
          <w:szCs w:val="32"/>
        </w:rPr>
        <w:t>（二）有效衔接法律法规。</w:t>
      </w:r>
    </w:p>
    <w:p w:rsidR="00AE56C0" w:rsidRDefault="00F2071D">
      <w:pPr>
        <w:adjustRightInd w:val="0"/>
        <w:snapToGrid w:val="0"/>
        <w:spacing w:line="620" w:lineRule="atLeast"/>
        <w:ind w:firstLineChars="200" w:firstLine="640"/>
        <w:rPr>
          <w:rFonts w:ascii="仿宋_GB2312" w:eastAsia="仿宋_GB2312"/>
          <w:sz w:val="32"/>
          <w:szCs w:val="32"/>
        </w:rPr>
      </w:pPr>
      <w:r>
        <w:rPr>
          <w:rFonts w:ascii="仿宋_GB2312" w:eastAsia="仿宋_GB2312" w:hAnsi="仿宋" w:cs="宋体" w:hint="eastAsia"/>
          <w:kern w:val="0"/>
          <w:sz w:val="32"/>
          <w:szCs w:val="32"/>
        </w:rPr>
        <w:t>《企业国有资产法》</w:t>
      </w:r>
      <w:r>
        <w:rPr>
          <w:rFonts w:ascii="仿宋_GB2312" w:eastAsia="仿宋_GB2312" w:hint="eastAsia"/>
          <w:sz w:val="32"/>
          <w:szCs w:val="32"/>
        </w:rPr>
        <w:t>《资产评估法》等</w:t>
      </w:r>
      <w:r>
        <w:rPr>
          <w:rFonts w:ascii="仿宋_GB2312" w:eastAsia="仿宋_GB2312" w:hAnsi="仿宋" w:cs="宋体" w:hint="eastAsia"/>
          <w:kern w:val="0"/>
          <w:sz w:val="32"/>
          <w:szCs w:val="32"/>
        </w:rPr>
        <w:t>为国有资产评估管理确立了重要的立法规范</w:t>
      </w:r>
      <w:r>
        <w:rPr>
          <w:rFonts w:ascii="仿宋_GB2312" w:eastAsia="仿宋_GB2312" w:hint="eastAsia"/>
          <w:sz w:val="32"/>
          <w:szCs w:val="32"/>
        </w:rPr>
        <w:t>，国务院发布了一系列文件进一步加强国有资产评估管理，财政部、国资委等管理部门也对国有资产评估事项进行了有效指导。91号令的修订以现有法律法规为依据，在制定理念、专业术语和内容表述等方面保持协调统一，统筹兼顾不同层级的法律文件之间相关内容的衔接。</w:t>
      </w:r>
    </w:p>
    <w:p w:rsidR="00AE56C0" w:rsidRDefault="00F2071D" w:rsidP="00C93E2F">
      <w:pPr>
        <w:adjustRightInd w:val="0"/>
        <w:snapToGrid w:val="0"/>
        <w:spacing w:line="620" w:lineRule="atLeast"/>
        <w:ind w:firstLineChars="200" w:firstLine="643"/>
        <w:rPr>
          <w:rFonts w:ascii="楷体_GB2312" w:eastAsia="楷体_GB2312"/>
          <w:b/>
          <w:sz w:val="32"/>
          <w:szCs w:val="32"/>
        </w:rPr>
      </w:pPr>
      <w:r>
        <w:rPr>
          <w:rFonts w:ascii="楷体_GB2312" w:eastAsia="楷体_GB2312" w:hint="eastAsia"/>
          <w:b/>
          <w:sz w:val="32"/>
          <w:szCs w:val="32"/>
        </w:rPr>
        <w:t>（三）体现国有资产评估管理经验和成果。</w:t>
      </w:r>
    </w:p>
    <w:p w:rsidR="00AE56C0" w:rsidRDefault="00F2071D">
      <w:pPr>
        <w:adjustRightInd w:val="0"/>
        <w:snapToGrid w:val="0"/>
        <w:spacing w:line="620" w:lineRule="atLeast"/>
        <w:ind w:firstLineChars="200" w:firstLine="640"/>
        <w:rPr>
          <w:rFonts w:ascii="仿宋_GB2312" w:eastAsia="仿宋_GB2312"/>
          <w:sz w:val="32"/>
          <w:szCs w:val="32"/>
        </w:rPr>
      </w:pPr>
      <w:r>
        <w:rPr>
          <w:rFonts w:ascii="仿宋_GB2312" w:eastAsia="仿宋_GB2312" w:hint="eastAsia"/>
          <w:sz w:val="32"/>
          <w:szCs w:val="32"/>
        </w:rPr>
        <w:t>91号令的修订借鉴现有国有资产评估管理经验和成果</w:t>
      </w:r>
      <w:r>
        <w:rPr>
          <w:rFonts w:ascii="仿宋_GB2312" w:eastAsia="仿宋_GB2312" w:hint="eastAsia"/>
          <w:sz w:val="32"/>
          <w:szCs w:val="32"/>
        </w:rPr>
        <w:lastRenderedPageBreak/>
        <w:t>的基础上，结合新时代国有资产监管理念、国有资产评估管理体制机制特点，以加强国有资产评估管理，规范国有资产评估行为，维护国有资产合法权益，有效防止国有资产流失为根本出发点和落脚点。</w:t>
      </w:r>
    </w:p>
    <w:p w:rsidR="00AE56C0" w:rsidRDefault="00F2071D">
      <w:pPr>
        <w:adjustRightInd w:val="0"/>
        <w:snapToGrid w:val="0"/>
        <w:spacing w:line="620" w:lineRule="atLeast"/>
        <w:ind w:firstLineChars="200" w:firstLine="640"/>
        <w:rPr>
          <w:rFonts w:ascii="黑体" w:eastAsia="黑体" w:hAnsi="黑体"/>
          <w:sz w:val="32"/>
          <w:szCs w:val="32"/>
        </w:rPr>
      </w:pPr>
      <w:r>
        <w:rPr>
          <w:rFonts w:ascii="黑体" w:eastAsia="黑体" w:hAnsi="黑体" w:hint="eastAsia"/>
          <w:sz w:val="32"/>
          <w:szCs w:val="32"/>
        </w:rPr>
        <w:t>三、修订的主要内容</w:t>
      </w:r>
    </w:p>
    <w:p w:rsidR="00AE56C0" w:rsidRDefault="00F2071D">
      <w:pPr>
        <w:adjustRightInd w:val="0"/>
        <w:snapToGrid w:val="0"/>
        <w:spacing w:line="620" w:lineRule="atLeast"/>
        <w:ind w:firstLineChars="200" w:firstLine="640"/>
        <w:rPr>
          <w:rFonts w:ascii="仿宋_GB2312" w:eastAsia="仿宋_GB2312"/>
          <w:sz w:val="32"/>
          <w:szCs w:val="32"/>
        </w:rPr>
      </w:pPr>
      <w:r>
        <w:rPr>
          <w:rFonts w:ascii="仿宋_GB2312" w:eastAsia="仿宋_GB2312" w:hint="eastAsia"/>
          <w:sz w:val="32"/>
          <w:szCs w:val="32"/>
        </w:rPr>
        <w:t>本次修订，按照新时代国有资产改革发展的要求，结合当前国有资产评估管理、行业发展等实践情况及发展趋势，进行系统修订。将91号令的6章39条，修改为</w:t>
      </w:r>
      <w:r>
        <w:rPr>
          <w:rFonts w:ascii="仿宋_GB2312" w:eastAsia="仿宋_GB2312"/>
          <w:sz w:val="32"/>
          <w:szCs w:val="32"/>
        </w:rPr>
        <w:t>4</w:t>
      </w:r>
      <w:r>
        <w:rPr>
          <w:rFonts w:ascii="仿宋_GB2312" w:eastAsia="仿宋_GB2312" w:hint="eastAsia"/>
          <w:sz w:val="32"/>
          <w:szCs w:val="32"/>
        </w:rPr>
        <w:t>章</w:t>
      </w:r>
      <w:r>
        <w:rPr>
          <w:rFonts w:ascii="仿宋_GB2312" w:eastAsia="仿宋_GB2312"/>
          <w:sz w:val="32"/>
          <w:szCs w:val="32"/>
        </w:rPr>
        <w:t>16</w:t>
      </w:r>
      <w:r>
        <w:rPr>
          <w:rFonts w:ascii="仿宋_GB2312" w:eastAsia="仿宋_GB2312" w:hint="eastAsia"/>
          <w:sz w:val="32"/>
          <w:szCs w:val="32"/>
        </w:rPr>
        <w:t>条。在具体章节上，增加资产评估管理、监督管理与法律责任两章，删除组织管理、评估程序、评估方法三章。具体修订内容主要涉及以下几个方面：</w:t>
      </w:r>
    </w:p>
    <w:p w:rsidR="00AE56C0" w:rsidRDefault="00F2071D" w:rsidP="00C93E2F">
      <w:pPr>
        <w:adjustRightInd w:val="0"/>
        <w:snapToGrid w:val="0"/>
        <w:spacing w:line="620" w:lineRule="atLeast"/>
        <w:ind w:firstLineChars="200" w:firstLine="643"/>
        <w:rPr>
          <w:rFonts w:ascii="楷体_GB2312" w:eastAsia="楷体_GB2312"/>
          <w:b/>
          <w:sz w:val="32"/>
          <w:szCs w:val="32"/>
        </w:rPr>
      </w:pPr>
      <w:r>
        <w:rPr>
          <w:rFonts w:ascii="楷体_GB2312" w:eastAsia="楷体_GB2312" w:hint="eastAsia"/>
          <w:b/>
          <w:sz w:val="32"/>
          <w:szCs w:val="32"/>
        </w:rPr>
        <w:t>（一）关于国有资产评估管理体制。</w:t>
      </w:r>
    </w:p>
    <w:p w:rsidR="00AE56C0" w:rsidRDefault="00F2071D">
      <w:pPr>
        <w:adjustRightInd w:val="0"/>
        <w:snapToGrid w:val="0"/>
        <w:spacing w:line="620" w:lineRule="atLeast"/>
        <w:ind w:firstLineChars="200" w:firstLine="640"/>
        <w:rPr>
          <w:rFonts w:ascii="仿宋_GB2312" w:eastAsia="仿宋_GB2312"/>
          <w:sz w:val="32"/>
          <w:szCs w:val="32"/>
        </w:rPr>
      </w:pPr>
      <w:r>
        <w:rPr>
          <w:rFonts w:ascii="仿宋_GB2312" w:eastAsia="仿宋_GB2312" w:hint="eastAsia"/>
          <w:sz w:val="32"/>
          <w:szCs w:val="32"/>
        </w:rPr>
        <w:t>当前对于国有资产评估工作的管理体制主要包括国有单位监管体制、资产评估行业行政监管体制和资产评估行业自律管理体制。本次修订明确国有资产监督管理机构对国有资产评估依法履行监督职责。国有资产监督管理机构根据需要，可以授权国有单位在其管理权限范围内对国有资产评估行为进行监督管理。各级有关资产评估行政管理部门根据各自职责，对资产评估机构及其资产评估师执行国有资产评估业务进行监督。</w:t>
      </w:r>
      <w:r>
        <w:rPr>
          <w:rFonts w:ascii="仿宋_GB2312" w:eastAsia="仿宋_GB2312" w:hAnsi="仿宋" w:hint="eastAsia"/>
          <w:sz w:val="32"/>
          <w:szCs w:val="32"/>
        </w:rPr>
        <w:t>各级有关资产评估行业协会依据各自职责，对资产评估机构及其资产评估师执行国有资产评估业务进行自律管理。</w:t>
      </w:r>
    </w:p>
    <w:p w:rsidR="00AE56C0" w:rsidRDefault="00F2071D" w:rsidP="00C93E2F">
      <w:pPr>
        <w:adjustRightInd w:val="0"/>
        <w:snapToGrid w:val="0"/>
        <w:spacing w:line="620" w:lineRule="atLeast"/>
        <w:ind w:firstLineChars="200" w:firstLine="643"/>
        <w:rPr>
          <w:rFonts w:ascii="楷体_GB2312" w:eastAsia="楷体_GB2312"/>
          <w:b/>
          <w:sz w:val="32"/>
          <w:szCs w:val="32"/>
        </w:rPr>
      </w:pPr>
      <w:r>
        <w:rPr>
          <w:rFonts w:ascii="楷体_GB2312" w:eastAsia="楷体_GB2312" w:hint="eastAsia"/>
          <w:b/>
          <w:sz w:val="32"/>
          <w:szCs w:val="32"/>
        </w:rPr>
        <w:lastRenderedPageBreak/>
        <w:t>（二）关于国有资产评估范围。</w:t>
      </w:r>
    </w:p>
    <w:p w:rsidR="00AE56C0" w:rsidRDefault="00F2071D">
      <w:pPr>
        <w:adjustRightInd w:val="0"/>
        <w:snapToGrid w:val="0"/>
        <w:spacing w:line="620" w:lineRule="atLeast"/>
        <w:ind w:firstLineChars="200" w:firstLine="640"/>
        <w:rPr>
          <w:rFonts w:ascii="仿宋_GB2312" w:eastAsia="仿宋_GB2312"/>
          <w:sz w:val="32"/>
          <w:szCs w:val="32"/>
        </w:rPr>
      </w:pPr>
      <w:r>
        <w:rPr>
          <w:rFonts w:ascii="仿宋_GB2312" w:eastAsia="仿宋_GB2312" w:hint="eastAsia"/>
          <w:sz w:val="32"/>
          <w:szCs w:val="32"/>
        </w:rPr>
        <w:t>随着我国经济体制改革的不断深化，国有资产评估实践已逐渐涵盖了经济建设的各个领域，涉及的资产类型和经济行为具有广泛性和综合性。本次修订结合当前国有资产管理的实践情况，对国有单位应当进行资产评估和可以不进行资产评估的经济行为类型，采取原则性表述与列举性表述相结合的方式进行了修改和完善，并对不同经济行为类别下国有资产评估项目的委托予以明确。</w:t>
      </w:r>
    </w:p>
    <w:bookmarkEnd w:id="0"/>
    <w:p w:rsidR="00AE56C0" w:rsidRDefault="00F2071D" w:rsidP="00C93E2F">
      <w:pPr>
        <w:adjustRightInd w:val="0"/>
        <w:snapToGrid w:val="0"/>
        <w:spacing w:line="620" w:lineRule="atLeast"/>
        <w:ind w:firstLineChars="200" w:firstLine="643"/>
        <w:rPr>
          <w:rFonts w:ascii="楷体_GB2312" w:eastAsia="楷体_GB2312"/>
          <w:b/>
          <w:sz w:val="32"/>
          <w:szCs w:val="32"/>
        </w:rPr>
      </w:pPr>
      <w:r>
        <w:rPr>
          <w:rFonts w:ascii="楷体_GB2312" w:eastAsia="楷体_GB2312" w:hint="eastAsia"/>
          <w:b/>
          <w:sz w:val="32"/>
          <w:szCs w:val="32"/>
        </w:rPr>
        <w:t>（三）关于国有资产评估程序和评估方法。</w:t>
      </w:r>
    </w:p>
    <w:p w:rsidR="00AE56C0" w:rsidRDefault="00F2071D">
      <w:pPr>
        <w:adjustRightInd w:val="0"/>
        <w:snapToGrid w:val="0"/>
        <w:spacing w:line="620" w:lineRule="atLeast"/>
        <w:ind w:firstLineChars="200" w:firstLine="640"/>
        <w:rPr>
          <w:rFonts w:ascii="仿宋_GB2312" w:eastAsia="仿宋_GB2312"/>
          <w:sz w:val="32"/>
          <w:szCs w:val="32"/>
        </w:rPr>
      </w:pPr>
      <w:r>
        <w:rPr>
          <w:rFonts w:ascii="仿宋_GB2312" w:eastAsia="仿宋_GB2312" w:hint="eastAsia"/>
          <w:sz w:val="32"/>
          <w:szCs w:val="32"/>
        </w:rPr>
        <w:t>《资产评估法》对评估程序提出了专门要求予以规范，现有资产评估准则体系针对评估程序和评估方法也作了细致地规范。因此，本次修订删除了有关评估程序和评估方法的内容。</w:t>
      </w:r>
    </w:p>
    <w:p w:rsidR="00AE56C0" w:rsidRDefault="00F2071D" w:rsidP="00C93E2F">
      <w:pPr>
        <w:adjustRightInd w:val="0"/>
        <w:snapToGrid w:val="0"/>
        <w:spacing w:line="620" w:lineRule="atLeast"/>
        <w:ind w:firstLineChars="200" w:firstLine="643"/>
        <w:rPr>
          <w:rFonts w:ascii="楷体_GB2312" w:eastAsia="楷体_GB2312"/>
          <w:b/>
          <w:sz w:val="32"/>
          <w:szCs w:val="32"/>
        </w:rPr>
      </w:pPr>
      <w:r>
        <w:rPr>
          <w:rFonts w:ascii="楷体_GB2312" w:eastAsia="楷体_GB2312" w:hint="eastAsia"/>
          <w:b/>
          <w:sz w:val="32"/>
          <w:szCs w:val="32"/>
        </w:rPr>
        <w:t>（四）关于国有资产评估项目核准和备案制度。</w:t>
      </w:r>
    </w:p>
    <w:p w:rsidR="00AE56C0" w:rsidRDefault="00F2071D">
      <w:pPr>
        <w:adjustRightInd w:val="0"/>
        <w:snapToGrid w:val="0"/>
        <w:spacing w:line="620" w:lineRule="atLeast"/>
        <w:ind w:firstLine="560"/>
        <w:rPr>
          <w:rFonts w:ascii="仿宋_GB2312" w:eastAsia="仿宋_GB2312"/>
          <w:sz w:val="32"/>
          <w:szCs w:val="32"/>
        </w:rPr>
      </w:pPr>
      <w:r>
        <w:rPr>
          <w:rFonts w:ascii="仿宋_GB2312" w:eastAsia="仿宋_GB2312" w:hint="eastAsia"/>
          <w:sz w:val="32"/>
          <w:szCs w:val="32"/>
        </w:rPr>
        <w:t>在坚持“放管服”改革的基础上，本次修订规范了国有资产评估项目的核准和备案管理，明确由</w:t>
      </w:r>
      <w:r>
        <w:rPr>
          <w:rFonts w:ascii="仿宋_GB2312" w:eastAsia="仿宋_GB2312" w:hAnsi="仿宋" w:hint="eastAsia"/>
          <w:sz w:val="32"/>
          <w:szCs w:val="32"/>
        </w:rPr>
        <w:t>国有资产监督管理机构及其授权的国有单位按照各自职责权限办理资产评估项目核准或备案程序。</w:t>
      </w:r>
      <w:r>
        <w:rPr>
          <w:rFonts w:ascii="仿宋_GB2312" w:eastAsia="仿宋_GB2312" w:hint="eastAsia"/>
          <w:sz w:val="32"/>
          <w:szCs w:val="32"/>
        </w:rPr>
        <w:t>资产评估项目核准或备案是国有单位办理产权登记、股权设置、产权转让等的必要程序。经核准或备案的评估结论在其有效期内作为作价参考依据。</w:t>
      </w:r>
    </w:p>
    <w:p w:rsidR="00AE56C0" w:rsidRDefault="00F2071D" w:rsidP="00C93E2F">
      <w:pPr>
        <w:adjustRightInd w:val="0"/>
        <w:snapToGrid w:val="0"/>
        <w:spacing w:line="620" w:lineRule="atLeast"/>
        <w:ind w:firstLineChars="200" w:firstLine="643"/>
        <w:rPr>
          <w:rFonts w:ascii="楷体_GB2312" w:eastAsia="楷体_GB2312"/>
          <w:b/>
          <w:sz w:val="32"/>
          <w:szCs w:val="32"/>
        </w:rPr>
      </w:pPr>
      <w:r>
        <w:rPr>
          <w:rFonts w:ascii="楷体_GB2312" w:eastAsia="楷体_GB2312" w:hint="eastAsia"/>
          <w:b/>
          <w:sz w:val="32"/>
          <w:szCs w:val="32"/>
        </w:rPr>
        <w:t>（五）关于国有资产评估监督管理与法律责任。</w:t>
      </w:r>
    </w:p>
    <w:p w:rsidR="00AE56C0" w:rsidRDefault="00F2071D">
      <w:pPr>
        <w:adjustRightInd w:val="0"/>
        <w:snapToGrid w:val="0"/>
        <w:spacing w:line="620" w:lineRule="atLeast"/>
        <w:ind w:firstLine="560"/>
        <w:rPr>
          <w:rFonts w:ascii="仿宋_GB2312" w:eastAsia="仿宋_GB2312"/>
          <w:sz w:val="32"/>
          <w:szCs w:val="32"/>
        </w:rPr>
      </w:pPr>
      <w:r>
        <w:rPr>
          <w:rFonts w:ascii="仿宋_GB2312" w:eastAsia="仿宋_GB2312" w:hint="eastAsia"/>
          <w:sz w:val="32"/>
          <w:szCs w:val="32"/>
        </w:rPr>
        <w:t>根据资产评估管理体制的变化，本次修订对国有资产监</w:t>
      </w:r>
      <w:r>
        <w:rPr>
          <w:rFonts w:ascii="仿宋_GB2312" w:eastAsia="仿宋_GB2312" w:hint="eastAsia"/>
          <w:sz w:val="32"/>
          <w:szCs w:val="32"/>
        </w:rPr>
        <w:lastRenderedPageBreak/>
        <w:t>督管理机构、评估行政管理部门、评估行业协会等国有资产评估各监管主体的职责予以界定和规范，要求各监管主体依法履行监督管理职责。以《资产评估法》为依据，明确</w:t>
      </w:r>
      <w:r>
        <w:rPr>
          <w:rFonts w:ascii="仿宋_GB2312" w:eastAsia="仿宋_GB2312" w:hAnsi="仿宋" w:hint="eastAsia"/>
          <w:sz w:val="32"/>
          <w:szCs w:val="32"/>
        </w:rPr>
        <w:t>国有单位、</w:t>
      </w:r>
      <w:r>
        <w:rPr>
          <w:rFonts w:ascii="仿宋_GB2312" w:eastAsia="仿宋_GB2312" w:hint="eastAsia"/>
          <w:sz w:val="32"/>
          <w:szCs w:val="32"/>
        </w:rPr>
        <w:t>委托人、评估机构、评估师、相关工作人员在违反相关规定应当承担的法律责任，对行政处罚相关内容进行修改和完善。</w:t>
      </w:r>
    </w:p>
    <w:p w:rsidR="00AE56C0" w:rsidRPr="007A2B93" w:rsidRDefault="00AE56C0">
      <w:pPr>
        <w:adjustRightInd w:val="0"/>
        <w:snapToGrid w:val="0"/>
        <w:spacing w:line="620" w:lineRule="atLeast"/>
        <w:ind w:firstLineChars="200" w:firstLine="640"/>
        <w:rPr>
          <w:rFonts w:ascii="仿宋_GB2312" w:eastAsia="仿宋_GB2312"/>
          <w:sz w:val="32"/>
          <w:szCs w:val="32"/>
        </w:rPr>
      </w:pPr>
    </w:p>
    <w:sectPr w:rsidR="00AE56C0" w:rsidRPr="007A2B93" w:rsidSect="00AE56C0">
      <w:footerReference w:type="default" r:id="rId7"/>
      <w:pgSz w:w="11906" w:h="16838"/>
      <w:pgMar w:top="1440" w:right="1797" w:bottom="1440" w:left="1797" w:header="851" w:footer="992"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09F" w:rsidRDefault="009A409F">
      <w:pPr>
        <w:spacing w:line="240" w:lineRule="auto"/>
      </w:pPr>
      <w:r>
        <w:separator/>
      </w:r>
    </w:p>
  </w:endnote>
  <w:endnote w:type="continuationSeparator" w:id="1">
    <w:p w:rsidR="009A409F" w:rsidRDefault="009A40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仿宋">
    <w:altName w:val="Arial Unicode MS"/>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19589389"/>
      <w:docPartObj>
        <w:docPartGallery w:val="AutoText"/>
      </w:docPartObj>
    </w:sdtPr>
    <w:sdtContent>
      <w:p w:rsidR="00AE56C0" w:rsidRDefault="0082302A">
        <w:pPr>
          <w:pStyle w:val="a5"/>
          <w:jc w:val="center"/>
        </w:pPr>
        <w:r>
          <w:rPr>
            <w:sz w:val="21"/>
            <w:szCs w:val="21"/>
          </w:rPr>
          <w:fldChar w:fldCharType="begin"/>
        </w:r>
        <w:r w:rsidR="00F2071D">
          <w:rPr>
            <w:sz w:val="21"/>
            <w:szCs w:val="21"/>
          </w:rPr>
          <w:instrText>PAGE   \* MERGEFORMAT</w:instrText>
        </w:r>
        <w:r>
          <w:rPr>
            <w:sz w:val="21"/>
            <w:szCs w:val="21"/>
          </w:rPr>
          <w:fldChar w:fldCharType="separate"/>
        </w:r>
        <w:r w:rsidR="00AF45DD" w:rsidRPr="00AF45DD">
          <w:rPr>
            <w:noProof/>
            <w:sz w:val="21"/>
            <w:szCs w:val="21"/>
            <w:lang w:val="zh-CN"/>
          </w:rPr>
          <w:t>2</w:t>
        </w:r>
        <w:r>
          <w:rPr>
            <w:sz w:val="21"/>
            <w:szCs w:val="2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09F" w:rsidRDefault="009A409F">
      <w:pPr>
        <w:spacing w:line="240" w:lineRule="auto"/>
      </w:pPr>
      <w:r>
        <w:separator/>
      </w:r>
    </w:p>
  </w:footnote>
  <w:footnote w:type="continuationSeparator" w:id="1">
    <w:p w:rsidR="009A409F" w:rsidRDefault="009A409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616D"/>
    <w:rsid w:val="9E66108A"/>
    <w:rsid w:val="00003140"/>
    <w:rsid w:val="000031FE"/>
    <w:rsid w:val="000038D8"/>
    <w:rsid w:val="00005AE4"/>
    <w:rsid w:val="0000711F"/>
    <w:rsid w:val="0001096A"/>
    <w:rsid w:val="00011FC6"/>
    <w:rsid w:val="00013176"/>
    <w:rsid w:val="000161EE"/>
    <w:rsid w:val="00020BCA"/>
    <w:rsid w:val="00020EB7"/>
    <w:rsid w:val="000212F4"/>
    <w:rsid w:val="00030F01"/>
    <w:rsid w:val="00031664"/>
    <w:rsid w:val="00036978"/>
    <w:rsid w:val="00045A6B"/>
    <w:rsid w:val="0004641F"/>
    <w:rsid w:val="00053B5E"/>
    <w:rsid w:val="000553D5"/>
    <w:rsid w:val="00064FB2"/>
    <w:rsid w:val="00065F65"/>
    <w:rsid w:val="00066BC4"/>
    <w:rsid w:val="000764FD"/>
    <w:rsid w:val="00077131"/>
    <w:rsid w:val="000856AA"/>
    <w:rsid w:val="00086106"/>
    <w:rsid w:val="00090E46"/>
    <w:rsid w:val="00093A37"/>
    <w:rsid w:val="00093C57"/>
    <w:rsid w:val="000A35BA"/>
    <w:rsid w:val="000A4625"/>
    <w:rsid w:val="000A7A7C"/>
    <w:rsid w:val="000B7E80"/>
    <w:rsid w:val="000C35ED"/>
    <w:rsid w:val="000C65AF"/>
    <w:rsid w:val="000C7B34"/>
    <w:rsid w:val="000D28C8"/>
    <w:rsid w:val="000D3460"/>
    <w:rsid w:val="000D382B"/>
    <w:rsid w:val="000D3872"/>
    <w:rsid w:val="000D54A0"/>
    <w:rsid w:val="000D5D32"/>
    <w:rsid w:val="000E26A4"/>
    <w:rsid w:val="000F5456"/>
    <w:rsid w:val="000F77AA"/>
    <w:rsid w:val="00100C0F"/>
    <w:rsid w:val="00101CE9"/>
    <w:rsid w:val="0010260E"/>
    <w:rsid w:val="00104BBF"/>
    <w:rsid w:val="00110ACD"/>
    <w:rsid w:val="00110AFF"/>
    <w:rsid w:val="0011206D"/>
    <w:rsid w:val="00114DBD"/>
    <w:rsid w:val="0011605C"/>
    <w:rsid w:val="00124822"/>
    <w:rsid w:val="00125437"/>
    <w:rsid w:val="0012665A"/>
    <w:rsid w:val="00127B1B"/>
    <w:rsid w:val="0013523D"/>
    <w:rsid w:val="00135652"/>
    <w:rsid w:val="00141B7A"/>
    <w:rsid w:val="00142165"/>
    <w:rsid w:val="00142CD2"/>
    <w:rsid w:val="0014339E"/>
    <w:rsid w:val="00146418"/>
    <w:rsid w:val="001508AD"/>
    <w:rsid w:val="001529ED"/>
    <w:rsid w:val="00153FBB"/>
    <w:rsid w:val="00155242"/>
    <w:rsid w:val="00156337"/>
    <w:rsid w:val="00157DEB"/>
    <w:rsid w:val="00161457"/>
    <w:rsid w:val="00162B0F"/>
    <w:rsid w:val="001640F6"/>
    <w:rsid w:val="001666A3"/>
    <w:rsid w:val="00173782"/>
    <w:rsid w:val="00173FC3"/>
    <w:rsid w:val="00175552"/>
    <w:rsid w:val="00177118"/>
    <w:rsid w:val="001825AC"/>
    <w:rsid w:val="001834D7"/>
    <w:rsid w:val="0018483B"/>
    <w:rsid w:val="00191164"/>
    <w:rsid w:val="0019525A"/>
    <w:rsid w:val="00197072"/>
    <w:rsid w:val="001A43C8"/>
    <w:rsid w:val="001A4605"/>
    <w:rsid w:val="001A5C52"/>
    <w:rsid w:val="001B2681"/>
    <w:rsid w:val="001B385E"/>
    <w:rsid w:val="001B5424"/>
    <w:rsid w:val="001B5570"/>
    <w:rsid w:val="001B7314"/>
    <w:rsid w:val="001B7E5E"/>
    <w:rsid w:val="001C2D7A"/>
    <w:rsid w:val="001C3752"/>
    <w:rsid w:val="001C4C37"/>
    <w:rsid w:val="001D01E4"/>
    <w:rsid w:val="001D62B1"/>
    <w:rsid w:val="001D7854"/>
    <w:rsid w:val="001E2C6C"/>
    <w:rsid w:val="001E3D28"/>
    <w:rsid w:val="001E4AD9"/>
    <w:rsid w:val="001E660B"/>
    <w:rsid w:val="001E6F37"/>
    <w:rsid w:val="001F22B7"/>
    <w:rsid w:val="001F2F5C"/>
    <w:rsid w:val="001F38AF"/>
    <w:rsid w:val="001F7BD6"/>
    <w:rsid w:val="00201515"/>
    <w:rsid w:val="00202200"/>
    <w:rsid w:val="002032A4"/>
    <w:rsid w:val="00211746"/>
    <w:rsid w:val="0021220F"/>
    <w:rsid w:val="0022031B"/>
    <w:rsid w:val="00232068"/>
    <w:rsid w:val="00233808"/>
    <w:rsid w:val="00234C24"/>
    <w:rsid w:val="00236D1F"/>
    <w:rsid w:val="00237ED4"/>
    <w:rsid w:val="00245572"/>
    <w:rsid w:val="00247574"/>
    <w:rsid w:val="00247EA3"/>
    <w:rsid w:val="0025286A"/>
    <w:rsid w:val="00252F0B"/>
    <w:rsid w:val="00255271"/>
    <w:rsid w:val="00256791"/>
    <w:rsid w:val="00262D30"/>
    <w:rsid w:val="00276801"/>
    <w:rsid w:val="00277330"/>
    <w:rsid w:val="00284DF6"/>
    <w:rsid w:val="00286293"/>
    <w:rsid w:val="002919DF"/>
    <w:rsid w:val="0029402C"/>
    <w:rsid w:val="00294D43"/>
    <w:rsid w:val="00294DF4"/>
    <w:rsid w:val="00294F4A"/>
    <w:rsid w:val="00296B85"/>
    <w:rsid w:val="00296C68"/>
    <w:rsid w:val="00297F26"/>
    <w:rsid w:val="002A0665"/>
    <w:rsid w:val="002A596B"/>
    <w:rsid w:val="002B34B6"/>
    <w:rsid w:val="002C52B4"/>
    <w:rsid w:val="002C79EF"/>
    <w:rsid w:val="002C7C43"/>
    <w:rsid w:val="002D6AEF"/>
    <w:rsid w:val="002D7A2D"/>
    <w:rsid w:val="002E1FA6"/>
    <w:rsid w:val="002E3954"/>
    <w:rsid w:val="002E3991"/>
    <w:rsid w:val="002F0210"/>
    <w:rsid w:val="002F02E8"/>
    <w:rsid w:val="002F0EE3"/>
    <w:rsid w:val="002F1A2F"/>
    <w:rsid w:val="002F50CA"/>
    <w:rsid w:val="002F55BC"/>
    <w:rsid w:val="002F6443"/>
    <w:rsid w:val="00314CF1"/>
    <w:rsid w:val="0031524B"/>
    <w:rsid w:val="00315DAF"/>
    <w:rsid w:val="003216AA"/>
    <w:rsid w:val="0033255A"/>
    <w:rsid w:val="00336FF1"/>
    <w:rsid w:val="003446BC"/>
    <w:rsid w:val="00344FB3"/>
    <w:rsid w:val="003450DD"/>
    <w:rsid w:val="00347E0C"/>
    <w:rsid w:val="00351408"/>
    <w:rsid w:val="003524B6"/>
    <w:rsid w:val="003714F3"/>
    <w:rsid w:val="00372BC0"/>
    <w:rsid w:val="00372C3C"/>
    <w:rsid w:val="003748BC"/>
    <w:rsid w:val="00380C8B"/>
    <w:rsid w:val="00387D31"/>
    <w:rsid w:val="00394020"/>
    <w:rsid w:val="00394CDE"/>
    <w:rsid w:val="00397358"/>
    <w:rsid w:val="003A0E12"/>
    <w:rsid w:val="003A3504"/>
    <w:rsid w:val="003A5D8F"/>
    <w:rsid w:val="003B01E5"/>
    <w:rsid w:val="003B0E26"/>
    <w:rsid w:val="003C1C34"/>
    <w:rsid w:val="003C4762"/>
    <w:rsid w:val="003D2DFF"/>
    <w:rsid w:val="003D6ECD"/>
    <w:rsid w:val="003E5CE7"/>
    <w:rsid w:val="003F0CCE"/>
    <w:rsid w:val="00405E4C"/>
    <w:rsid w:val="00410E23"/>
    <w:rsid w:val="004117E1"/>
    <w:rsid w:val="00414DE6"/>
    <w:rsid w:val="004164D4"/>
    <w:rsid w:val="00420C31"/>
    <w:rsid w:val="004237A9"/>
    <w:rsid w:val="00423922"/>
    <w:rsid w:val="00425FA0"/>
    <w:rsid w:val="00430571"/>
    <w:rsid w:val="004311F7"/>
    <w:rsid w:val="0043211C"/>
    <w:rsid w:val="0043466B"/>
    <w:rsid w:val="00440E59"/>
    <w:rsid w:val="00443A38"/>
    <w:rsid w:val="0044556A"/>
    <w:rsid w:val="00452506"/>
    <w:rsid w:val="004625E4"/>
    <w:rsid w:val="0046407E"/>
    <w:rsid w:val="0046625A"/>
    <w:rsid w:val="0046678C"/>
    <w:rsid w:val="0047081D"/>
    <w:rsid w:val="00471985"/>
    <w:rsid w:val="0047255E"/>
    <w:rsid w:val="00493B42"/>
    <w:rsid w:val="00494FBC"/>
    <w:rsid w:val="00497FA1"/>
    <w:rsid w:val="004A1404"/>
    <w:rsid w:val="004A2409"/>
    <w:rsid w:val="004A3B68"/>
    <w:rsid w:val="004A415D"/>
    <w:rsid w:val="004A48BC"/>
    <w:rsid w:val="004A7FED"/>
    <w:rsid w:val="004B2444"/>
    <w:rsid w:val="004B6142"/>
    <w:rsid w:val="004B6875"/>
    <w:rsid w:val="004C04A9"/>
    <w:rsid w:val="004C6EC1"/>
    <w:rsid w:val="004C7A7C"/>
    <w:rsid w:val="004C7B6D"/>
    <w:rsid w:val="004D289E"/>
    <w:rsid w:val="004D6624"/>
    <w:rsid w:val="004E202E"/>
    <w:rsid w:val="004E2CDF"/>
    <w:rsid w:val="004F087C"/>
    <w:rsid w:val="004F5854"/>
    <w:rsid w:val="004F5937"/>
    <w:rsid w:val="00505A41"/>
    <w:rsid w:val="005113E6"/>
    <w:rsid w:val="00512D92"/>
    <w:rsid w:val="00515F24"/>
    <w:rsid w:val="00516683"/>
    <w:rsid w:val="00516B7B"/>
    <w:rsid w:val="00516BEE"/>
    <w:rsid w:val="005217B5"/>
    <w:rsid w:val="00524ABB"/>
    <w:rsid w:val="00524D67"/>
    <w:rsid w:val="005321AF"/>
    <w:rsid w:val="00532A5B"/>
    <w:rsid w:val="005342D0"/>
    <w:rsid w:val="00536586"/>
    <w:rsid w:val="0054024E"/>
    <w:rsid w:val="00540422"/>
    <w:rsid w:val="0054065A"/>
    <w:rsid w:val="005465E2"/>
    <w:rsid w:val="00546B29"/>
    <w:rsid w:val="0055454C"/>
    <w:rsid w:val="00561171"/>
    <w:rsid w:val="005639E1"/>
    <w:rsid w:val="00564F8F"/>
    <w:rsid w:val="005732AD"/>
    <w:rsid w:val="00576534"/>
    <w:rsid w:val="00576EEC"/>
    <w:rsid w:val="00583AD2"/>
    <w:rsid w:val="00586B6D"/>
    <w:rsid w:val="00586E31"/>
    <w:rsid w:val="005870D1"/>
    <w:rsid w:val="00592609"/>
    <w:rsid w:val="00596BCE"/>
    <w:rsid w:val="005A2D3D"/>
    <w:rsid w:val="005A5F85"/>
    <w:rsid w:val="005A7C5C"/>
    <w:rsid w:val="005B0303"/>
    <w:rsid w:val="005B4EA1"/>
    <w:rsid w:val="005B5F49"/>
    <w:rsid w:val="005B64B9"/>
    <w:rsid w:val="005B75B2"/>
    <w:rsid w:val="005B7D9D"/>
    <w:rsid w:val="005C3CAE"/>
    <w:rsid w:val="005C5E47"/>
    <w:rsid w:val="005D1DD6"/>
    <w:rsid w:val="005D3F81"/>
    <w:rsid w:val="005E00BD"/>
    <w:rsid w:val="005E00E8"/>
    <w:rsid w:val="005E434B"/>
    <w:rsid w:val="005E5D95"/>
    <w:rsid w:val="005E5F61"/>
    <w:rsid w:val="005F0103"/>
    <w:rsid w:val="005F3F9D"/>
    <w:rsid w:val="00600DCA"/>
    <w:rsid w:val="0060397E"/>
    <w:rsid w:val="006065F6"/>
    <w:rsid w:val="006103B2"/>
    <w:rsid w:val="00613FF8"/>
    <w:rsid w:val="00622C1C"/>
    <w:rsid w:val="00623559"/>
    <w:rsid w:val="006266CA"/>
    <w:rsid w:val="00630CF4"/>
    <w:rsid w:val="00633321"/>
    <w:rsid w:val="00642307"/>
    <w:rsid w:val="00646302"/>
    <w:rsid w:val="00646454"/>
    <w:rsid w:val="006505C5"/>
    <w:rsid w:val="00650C1B"/>
    <w:rsid w:val="00654C7D"/>
    <w:rsid w:val="0065793A"/>
    <w:rsid w:val="00661F1D"/>
    <w:rsid w:val="00662B0F"/>
    <w:rsid w:val="00666732"/>
    <w:rsid w:val="00672758"/>
    <w:rsid w:val="0067326F"/>
    <w:rsid w:val="00674E81"/>
    <w:rsid w:val="00676578"/>
    <w:rsid w:val="00680E35"/>
    <w:rsid w:val="00682187"/>
    <w:rsid w:val="00687EDE"/>
    <w:rsid w:val="00692C43"/>
    <w:rsid w:val="0069498A"/>
    <w:rsid w:val="006A616D"/>
    <w:rsid w:val="006B01F4"/>
    <w:rsid w:val="006B0A57"/>
    <w:rsid w:val="006B32FC"/>
    <w:rsid w:val="006C5CEE"/>
    <w:rsid w:val="006C78E6"/>
    <w:rsid w:val="006C7C40"/>
    <w:rsid w:val="006D3889"/>
    <w:rsid w:val="006E1A54"/>
    <w:rsid w:val="006F1DFF"/>
    <w:rsid w:val="00706A7D"/>
    <w:rsid w:val="007121C5"/>
    <w:rsid w:val="007163CB"/>
    <w:rsid w:val="007226D3"/>
    <w:rsid w:val="007253F6"/>
    <w:rsid w:val="007259B0"/>
    <w:rsid w:val="0072653E"/>
    <w:rsid w:val="007272F5"/>
    <w:rsid w:val="007315D8"/>
    <w:rsid w:val="0073280D"/>
    <w:rsid w:val="0073621F"/>
    <w:rsid w:val="007362EE"/>
    <w:rsid w:val="00743E14"/>
    <w:rsid w:val="007467AB"/>
    <w:rsid w:val="00747FE7"/>
    <w:rsid w:val="007542F9"/>
    <w:rsid w:val="00756220"/>
    <w:rsid w:val="00756249"/>
    <w:rsid w:val="0075789D"/>
    <w:rsid w:val="00764B87"/>
    <w:rsid w:val="00765ABB"/>
    <w:rsid w:val="00766A2E"/>
    <w:rsid w:val="00766B4C"/>
    <w:rsid w:val="00772E3D"/>
    <w:rsid w:val="0077505E"/>
    <w:rsid w:val="00777DDF"/>
    <w:rsid w:val="007802E1"/>
    <w:rsid w:val="00782BA0"/>
    <w:rsid w:val="00784662"/>
    <w:rsid w:val="007856E1"/>
    <w:rsid w:val="007857B1"/>
    <w:rsid w:val="007858D1"/>
    <w:rsid w:val="0078690C"/>
    <w:rsid w:val="00792AD6"/>
    <w:rsid w:val="007A0857"/>
    <w:rsid w:val="007A2B93"/>
    <w:rsid w:val="007A6BC5"/>
    <w:rsid w:val="007B1852"/>
    <w:rsid w:val="007B5E3D"/>
    <w:rsid w:val="007B6F43"/>
    <w:rsid w:val="007C0773"/>
    <w:rsid w:val="007C30F7"/>
    <w:rsid w:val="007C4E63"/>
    <w:rsid w:val="007D3338"/>
    <w:rsid w:val="007D5F79"/>
    <w:rsid w:val="007D6268"/>
    <w:rsid w:val="007D6FC1"/>
    <w:rsid w:val="007E3C9D"/>
    <w:rsid w:val="007E5558"/>
    <w:rsid w:val="007E6DCC"/>
    <w:rsid w:val="007F3208"/>
    <w:rsid w:val="007F3564"/>
    <w:rsid w:val="007F4347"/>
    <w:rsid w:val="007F66B4"/>
    <w:rsid w:val="008045D1"/>
    <w:rsid w:val="00805883"/>
    <w:rsid w:val="00806405"/>
    <w:rsid w:val="0080719C"/>
    <w:rsid w:val="0082219F"/>
    <w:rsid w:val="0082302A"/>
    <w:rsid w:val="008262AB"/>
    <w:rsid w:val="0082681D"/>
    <w:rsid w:val="00827D96"/>
    <w:rsid w:val="008337BF"/>
    <w:rsid w:val="00833F78"/>
    <w:rsid w:val="00835B87"/>
    <w:rsid w:val="00836E25"/>
    <w:rsid w:val="008419BE"/>
    <w:rsid w:val="008423DC"/>
    <w:rsid w:val="00851D2A"/>
    <w:rsid w:val="00852B7B"/>
    <w:rsid w:val="00855BF6"/>
    <w:rsid w:val="00860E7F"/>
    <w:rsid w:val="00861284"/>
    <w:rsid w:val="008619C6"/>
    <w:rsid w:val="0086377F"/>
    <w:rsid w:val="008645DF"/>
    <w:rsid w:val="00864EB7"/>
    <w:rsid w:val="00865CFB"/>
    <w:rsid w:val="008707C6"/>
    <w:rsid w:val="00880A89"/>
    <w:rsid w:val="00890AC6"/>
    <w:rsid w:val="00896899"/>
    <w:rsid w:val="008B1765"/>
    <w:rsid w:val="008B3E6E"/>
    <w:rsid w:val="008B7375"/>
    <w:rsid w:val="008C24B7"/>
    <w:rsid w:val="008D31A5"/>
    <w:rsid w:val="008D3896"/>
    <w:rsid w:val="008F43D1"/>
    <w:rsid w:val="008F5E96"/>
    <w:rsid w:val="008F616C"/>
    <w:rsid w:val="008F77DA"/>
    <w:rsid w:val="0090145E"/>
    <w:rsid w:val="00904D5C"/>
    <w:rsid w:val="00905B2C"/>
    <w:rsid w:val="00905E85"/>
    <w:rsid w:val="0091080E"/>
    <w:rsid w:val="00910D00"/>
    <w:rsid w:val="009141AA"/>
    <w:rsid w:val="00917225"/>
    <w:rsid w:val="00920A55"/>
    <w:rsid w:val="0092488D"/>
    <w:rsid w:val="00925D9D"/>
    <w:rsid w:val="00927C5F"/>
    <w:rsid w:val="009306CB"/>
    <w:rsid w:val="009342C0"/>
    <w:rsid w:val="00937025"/>
    <w:rsid w:val="009468B6"/>
    <w:rsid w:val="00953053"/>
    <w:rsid w:val="00960C93"/>
    <w:rsid w:val="00961C2E"/>
    <w:rsid w:val="00982894"/>
    <w:rsid w:val="00982E1B"/>
    <w:rsid w:val="00987B98"/>
    <w:rsid w:val="00987BAC"/>
    <w:rsid w:val="00991F05"/>
    <w:rsid w:val="00992EC1"/>
    <w:rsid w:val="00993F27"/>
    <w:rsid w:val="009949C3"/>
    <w:rsid w:val="009A2CF8"/>
    <w:rsid w:val="009A409F"/>
    <w:rsid w:val="009A67CC"/>
    <w:rsid w:val="009A7693"/>
    <w:rsid w:val="009A77CF"/>
    <w:rsid w:val="009B09C8"/>
    <w:rsid w:val="009B334A"/>
    <w:rsid w:val="009B4657"/>
    <w:rsid w:val="009B58D9"/>
    <w:rsid w:val="009B701E"/>
    <w:rsid w:val="009B7F99"/>
    <w:rsid w:val="009C273E"/>
    <w:rsid w:val="009C769D"/>
    <w:rsid w:val="009C76AA"/>
    <w:rsid w:val="009D1632"/>
    <w:rsid w:val="009D4332"/>
    <w:rsid w:val="009D67A6"/>
    <w:rsid w:val="009E0337"/>
    <w:rsid w:val="009E08E7"/>
    <w:rsid w:val="009E1F8A"/>
    <w:rsid w:val="009E60D3"/>
    <w:rsid w:val="009F32C4"/>
    <w:rsid w:val="00A00525"/>
    <w:rsid w:val="00A04A63"/>
    <w:rsid w:val="00A06ACE"/>
    <w:rsid w:val="00A076A6"/>
    <w:rsid w:val="00A07E93"/>
    <w:rsid w:val="00A156E0"/>
    <w:rsid w:val="00A15766"/>
    <w:rsid w:val="00A173B1"/>
    <w:rsid w:val="00A254CA"/>
    <w:rsid w:val="00A321D8"/>
    <w:rsid w:val="00A32A99"/>
    <w:rsid w:val="00A36C1E"/>
    <w:rsid w:val="00A41511"/>
    <w:rsid w:val="00A45447"/>
    <w:rsid w:val="00A46A56"/>
    <w:rsid w:val="00A52401"/>
    <w:rsid w:val="00A52CC6"/>
    <w:rsid w:val="00A530BD"/>
    <w:rsid w:val="00A538AE"/>
    <w:rsid w:val="00A57D53"/>
    <w:rsid w:val="00A616D9"/>
    <w:rsid w:val="00A91CC0"/>
    <w:rsid w:val="00A93264"/>
    <w:rsid w:val="00AA767F"/>
    <w:rsid w:val="00AB2C62"/>
    <w:rsid w:val="00AB5486"/>
    <w:rsid w:val="00AB564E"/>
    <w:rsid w:val="00AC1205"/>
    <w:rsid w:val="00AC62AE"/>
    <w:rsid w:val="00AC72E5"/>
    <w:rsid w:val="00AD2C00"/>
    <w:rsid w:val="00AD4451"/>
    <w:rsid w:val="00AE03D3"/>
    <w:rsid w:val="00AE2274"/>
    <w:rsid w:val="00AE3ABA"/>
    <w:rsid w:val="00AE56C0"/>
    <w:rsid w:val="00AE5A64"/>
    <w:rsid w:val="00AE5AA5"/>
    <w:rsid w:val="00AE5EB2"/>
    <w:rsid w:val="00AE6A4D"/>
    <w:rsid w:val="00AF12CD"/>
    <w:rsid w:val="00AF1576"/>
    <w:rsid w:val="00AF3DD7"/>
    <w:rsid w:val="00AF45DD"/>
    <w:rsid w:val="00AF5BEC"/>
    <w:rsid w:val="00B1113D"/>
    <w:rsid w:val="00B12B56"/>
    <w:rsid w:val="00B202C7"/>
    <w:rsid w:val="00B231D0"/>
    <w:rsid w:val="00B31B9D"/>
    <w:rsid w:val="00B31DFA"/>
    <w:rsid w:val="00B357C3"/>
    <w:rsid w:val="00B41770"/>
    <w:rsid w:val="00B42B65"/>
    <w:rsid w:val="00B46786"/>
    <w:rsid w:val="00B5116A"/>
    <w:rsid w:val="00B52C19"/>
    <w:rsid w:val="00B5491D"/>
    <w:rsid w:val="00B562A1"/>
    <w:rsid w:val="00B6614E"/>
    <w:rsid w:val="00B66EAE"/>
    <w:rsid w:val="00B76A48"/>
    <w:rsid w:val="00B80BAE"/>
    <w:rsid w:val="00B920D3"/>
    <w:rsid w:val="00B92C9F"/>
    <w:rsid w:val="00B949B3"/>
    <w:rsid w:val="00BA66DD"/>
    <w:rsid w:val="00BB059B"/>
    <w:rsid w:val="00BB2513"/>
    <w:rsid w:val="00BB3DBE"/>
    <w:rsid w:val="00BB49EE"/>
    <w:rsid w:val="00BB73B0"/>
    <w:rsid w:val="00BC297E"/>
    <w:rsid w:val="00BC6289"/>
    <w:rsid w:val="00BD2ABA"/>
    <w:rsid w:val="00BD38C2"/>
    <w:rsid w:val="00BD4644"/>
    <w:rsid w:val="00BD57D8"/>
    <w:rsid w:val="00BD6964"/>
    <w:rsid w:val="00BE4930"/>
    <w:rsid w:val="00BE5F9D"/>
    <w:rsid w:val="00BE667A"/>
    <w:rsid w:val="00BE67DE"/>
    <w:rsid w:val="00BE6DAD"/>
    <w:rsid w:val="00BF2F7D"/>
    <w:rsid w:val="00BF4C4A"/>
    <w:rsid w:val="00BF52C4"/>
    <w:rsid w:val="00BF7368"/>
    <w:rsid w:val="00C01073"/>
    <w:rsid w:val="00C042D6"/>
    <w:rsid w:val="00C06123"/>
    <w:rsid w:val="00C1346D"/>
    <w:rsid w:val="00C15AC3"/>
    <w:rsid w:val="00C1733D"/>
    <w:rsid w:val="00C225BE"/>
    <w:rsid w:val="00C2442C"/>
    <w:rsid w:val="00C2625D"/>
    <w:rsid w:val="00C33F28"/>
    <w:rsid w:val="00C360CC"/>
    <w:rsid w:val="00C372F4"/>
    <w:rsid w:val="00C46F14"/>
    <w:rsid w:val="00C47F20"/>
    <w:rsid w:val="00C50A97"/>
    <w:rsid w:val="00C513F4"/>
    <w:rsid w:val="00C52F71"/>
    <w:rsid w:val="00C60A62"/>
    <w:rsid w:val="00C60C4E"/>
    <w:rsid w:val="00C63818"/>
    <w:rsid w:val="00C66631"/>
    <w:rsid w:val="00C67C2E"/>
    <w:rsid w:val="00C713AA"/>
    <w:rsid w:val="00C715AE"/>
    <w:rsid w:val="00C72C02"/>
    <w:rsid w:val="00C808FF"/>
    <w:rsid w:val="00C93E2F"/>
    <w:rsid w:val="00CA0E83"/>
    <w:rsid w:val="00CA4232"/>
    <w:rsid w:val="00CA74FE"/>
    <w:rsid w:val="00CB68F0"/>
    <w:rsid w:val="00CB6CFE"/>
    <w:rsid w:val="00CC36D0"/>
    <w:rsid w:val="00CC441F"/>
    <w:rsid w:val="00CC46B7"/>
    <w:rsid w:val="00CC489C"/>
    <w:rsid w:val="00CD069A"/>
    <w:rsid w:val="00CD095D"/>
    <w:rsid w:val="00CD4DB2"/>
    <w:rsid w:val="00CD5C6A"/>
    <w:rsid w:val="00CD6506"/>
    <w:rsid w:val="00CE5257"/>
    <w:rsid w:val="00CE53E3"/>
    <w:rsid w:val="00CF74B0"/>
    <w:rsid w:val="00CF79C7"/>
    <w:rsid w:val="00D15CC3"/>
    <w:rsid w:val="00D308D7"/>
    <w:rsid w:val="00D34043"/>
    <w:rsid w:val="00D3656A"/>
    <w:rsid w:val="00D366D8"/>
    <w:rsid w:val="00D41D3A"/>
    <w:rsid w:val="00D467F0"/>
    <w:rsid w:val="00D50DEF"/>
    <w:rsid w:val="00D53181"/>
    <w:rsid w:val="00D54F02"/>
    <w:rsid w:val="00D5543A"/>
    <w:rsid w:val="00D56399"/>
    <w:rsid w:val="00D564F7"/>
    <w:rsid w:val="00D57227"/>
    <w:rsid w:val="00D572EB"/>
    <w:rsid w:val="00D577D9"/>
    <w:rsid w:val="00D623FB"/>
    <w:rsid w:val="00D62A9D"/>
    <w:rsid w:val="00D659EB"/>
    <w:rsid w:val="00D6725D"/>
    <w:rsid w:val="00D675D2"/>
    <w:rsid w:val="00D738EE"/>
    <w:rsid w:val="00D776B4"/>
    <w:rsid w:val="00D77B61"/>
    <w:rsid w:val="00D809CF"/>
    <w:rsid w:val="00D82AE0"/>
    <w:rsid w:val="00D84630"/>
    <w:rsid w:val="00D902EE"/>
    <w:rsid w:val="00D908CB"/>
    <w:rsid w:val="00D91D52"/>
    <w:rsid w:val="00D9299C"/>
    <w:rsid w:val="00D92F4A"/>
    <w:rsid w:val="00DA1D7C"/>
    <w:rsid w:val="00DA1DE4"/>
    <w:rsid w:val="00DA4B0B"/>
    <w:rsid w:val="00DA767E"/>
    <w:rsid w:val="00DB1639"/>
    <w:rsid w:val="00DB3644"/>
    <w:rsid w:val="00DC2A2B"/>
    <w:rsid w:val="00DC2DEB"/>
    <w:rsid w:val="00DC3D8E"/>
    <w:rsid w:val="00DD0689"/>
    <w:rsid w:val="00DD070B"/>
    <w:rsid w:val="00DD2F5B"/>
    <w:rsid w:val="00DE054C"/>
    <w:rsid w:val="00DE0E74"/>
    <w:rsid w:val="00DE7C62"/>
    <w:rsid w:val="00DF1705"/>
    <w:rsid w:val="00DF3A75"/>
    <w:rsid w:val="00DF412F"/>
    <w:rsid w:val="00DF4FAB"/>
    <w:rsid w:val="00DF63DD"/>
    <w:rsid w:val="00DF79BA"/>
    <w:rsid w:val="00E06BCE"/>
    <w:rsid w:val="00E071A8"/>
    <w:rsid w:val="00E10BED"/>
    <w:rsid w:val="00E216A9"/>
    <w:rsid w:val="00E2215B"/>
    <w:rsid w:val="00E24126"/>
    <w:rsid w:val="00E274D5"/>
    <w:rsid w:val="00E30DF8"/>
    <w:rsid w:val="00E31091"/>
    <w:rsid w:val="00E448F7"/>
    <w:rsid w:val="00E451C8"/>
    <w:rsid w:val="00E45F52"/>
    <w:rsid w:val="00E50077"/>
    <w:rsid w:val="00E516A0"/>
    <w:rsid w:val="00E52A9F"/>
    <w:rsid w:val="00E5344D"/>
    <w:rsid w:val="00E539BD"/>
    <w:rsid w:val="00E7185B"/>
    <w:rsid w:val="00E84025"/>
    <w:rsid w:val="00E8660A"/>
    <w:rsid w:val="00E90C14"/>
    <w:rsid w:val="00E963A3"/>
    <w:rsid w:val="00EA1752"/>
    <w:rsid w:val="00EA1C37"/>
    <w:rsid w:val="00EA22B3"/>
    <w:rsid w:val="00EA2B68"/>
    <w:rsid w:val="00EA3943"/>
    <w:rsid w:val="00EA4C34"/>
    <w:rsid w:val="00EA7F42"/>
    <w:rsid w:val="00EB2716"/>
    <w:rsid w:val="00EB352D"/>
    <w:rsid w:val="00EB7648"/>
    <w:rsid w:val="00EC4F42"/>
    <w:rsid w:val="00EC6424"/>
    <w:rsid w:val="00EC7C75"/>
    <w:rsid w:val="00ED1265"/>
    <w:rsid w:val="00ED168C"/>
    <w:rsid w:val="00ED24C2"/>
    <w:rsid w:val="00ED382C"/>
    <w:rsid w:val="00EE15F8"/>
    <w:rsid w:val="00EE1AD7"/>
    <w:rsid w:val="00EE21A2"/>
    <w:rsid w:val="00EE2FEC"/>
    <w:rsid w:val="00EE6977"/>
    <w:rsid w:val="00EE7850"/>
    <w:rsid w:val="00EF2E13"/>
    <w:rsid w:val="00EF7963"/>
    <w:rsid w:val="00F00694"/>
    <w:rsid w:val="00F02667"/>
    <w:rsid w:val="00F07FB6"/>
    <w:rsid w:val="00F10A4E"/>
    <w:rsid w:val="00F2071D"/>
    <w:rsid w:val="00F24462"/>
    <w:rsid w:val="00F30DFE"/>
    <w:rsid w:val="00F32FF5"/>
    <w:rsid w:val="00F3569E"/>
    <w:rsid w:val="00F44036"/>
    <w:rsid w:val="00F502D7"/>
    <w:rsid w:val="00F57113"/>
    <w:rsid w:val="00F73C93"/>
    <w:rsid w:val="00F7516E"/>
    <w:rsid w:val="00F752F9"/>
    <w:rsid w:val="00F762D5"/>
    <w:rsid w:val="00F76BC8"/>
    <w:rsid w:val="00F81024"/>
    <w:rsid w:val="00F83187"/>
    <w:rsid w:val="00F83BF4"/>
    <w:rsid w:val="00F858F3"/>
    <w:rsid w:val="00F85CAD"/>
    <w:rsid w:val="00F8675B"/>
    <w:rsid w:val="00F9322C"/>
    <w:rsid w:val="00F94907"/>
    <w:rsid w:val="00F94CEF"/>
    <w:rsid w:val="00F974B5"/>
    <w:rsid w:val="00FA0807"/>
    <w:rsid w:val="00FA3980"/>
    <w:rsid w:val="00FB2594"/>
    <w:rsid w:val="00FB477C"/>
    <w:rsid w:val="00FB64D4"/>
    <w:rsid w:val="00FB6E63"/>
    <w:rsid w:val="00FC007F"/>
    <w:rsid w:val="00FC43BA"/>
    <w:rsid w:val="00FC6AF7"/>
    <w:rsid w:val="00FC6CB0"/>
    <w:rsid w:val="00FD7E6E"/>
    <w:rsid w:val="00FE09F3"/>
    <w:rsid w:val="00FE137B"/>
    <w:rsid w:val="00FE2C80"/>
    <w:rsid w:val="00FE3659"/>
    <w:rsid w:val="00FE36F5"/>
    <w:rsid w:val="00FE4C75"/>
    <w:rsid w:val="00FE518C"/>
    <w:rsid w:val="00FE66D3"/>
    <w:rsid w:val="00FE6D8E"/>
    <w:rsid w:val="00FF193B"/>
    <w:rsid w:val="00FF4F2A"/>
    <w:rsid w:val="00FF5CE6"/>
    <w:rsid w:val="00FF68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6C0"/>
    <w:pPr>
      <w:widowControl w:val="0"/>
      <w:spacing w:line="360" w:lineRule="auto"/>
      <w:jc w:val="both"/>
    </w:pPr>
    <w:rPr>
      <w:rFonts w:ascii="宋体" w:eastAsia="宋体" w:hAnsi="宋体"/>
      <w:kern w:val="2"/>
      <w:sz w:val="24"/>
      <w:szCs w:val="22"/>
    </w:rPr>
  </w:style>
  <w:style w:type="paragraph" w:styleId="1">
    <w:name w:val="heading 1"/>
    <w:basedOn w:val="a"/>
    <w:next w:val="a"/>
    <w:link w:val="1Char"/>
    <w:uiPriority w:val="9"/>
    <w:qFormat/>
    <w:rsid w:val="00AE56C0"/>
    <w:pPr>
      <w:keepNext/>
      <w:keepLines/>
      <w:spacing w:before="340" w:after="330" w:line="578" w:lineRule="auto"/>
      <w:jc w:val="center"/>
      <w:outlineLvl w:val="0"/>
    </w:pPr>
    <w:rPr>
      <w:rFonts w:eastAsia="黑体"/>
      <w:b/>
      <w:bCs/>
      <w:kern w:val="44"/>
      <w:sz w:val="44"/>
      <w:szCs w:val="44"/>
    </w:rPr>
  </w:style>
  <w:style w:type="paragraph" w:styleId="2">
    <w:name w:val="heading 2"/>
    <w:basedOn w:val="a"/>
    <w:next w:val="a"/>
    <w:link w:val="2Char"/>
    <w:uiPriority w:val="9"/>
    <w:unhideWhenUsed/>
    <w:qFormat/>
    <w:rsid w:val="00AE56C0"/>
    <w:pPr>
      <w:keepNext/>
      <w:keepLines/>
      <w:spacing w:before="480" w:after="360" w:line="415" w:lineRule="auto"/>
      <w:jc w:val="left"/>
      <w:outlineLvl w:val="1"/>
    </w:pPr>
    <w:rPr>
      <w:rFonts w:asciiTheme="majorHAnsi" w:eastAsia="黑体" w:hAnsiTheme="majorHAnsi" w:cstheme="majorBidi"/>
      <w:b/>
      <w:bCs/>
      <w:sz w:val="30"/>
      <w:szCs w:val="32"/>
    </w:rPr>
  </w:style>
  <w:style w:type="paragraph" w:styleId="3">
    <w:name w:val="heading 3"/>
    <w:basedOn w:val="a"/>
    <w:next w:val="a"/>
    <w:link w:val="3Char"/>
    <w:uiPriority w:val="9"/>
    <w:unhideWhenUsed/>
    <w:qFormat/>
    <w:rsid w:val="00AE56C0"/>
    <w:pPr>
      <w:keepNext/>
      <w:keepLines/>
      <w:spacing w:before="294" w:after="280" w:line="415" w:lineRule="auto"/>
      <w:ind w:firstLineChars="200" w:firstLine="200"/>
      <w:outlineLvl w:val="2"/>
    </w:pPr>
    <w:rPr>
      <w:rFonts w:eastAsia="黑体"/>
      <w:b/>
      <w:bCs/>
      <w:sz w:val="28"/>
      <w:szCs w:val="32"/>
    </w:rPr>
  </w:style>
  <w:style w:type="paragraph" w:styleId="4">
    <w:name w:val="heading 4"/>
    <w:basedOn w:val="a"/>
    <w:next w:val="a"/>
    <w:link w:val="4Char"/>
    <w:uiPriority w:val="9"/>
    <w:unhideWhenUsed/>
    <w:qFormat/>
    <w:rsid w:val="00AE56C0"/>
    <w:pPr>
      <w:keepNext/>
      <w:keepLines/>
      <w:spacing w:before="120" w:after="120"/>
      <w:ind w:firstLineChars="200" w:firstLine="200"/>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AE56C0"/>
    <w:rPr>
      <w:rFonts w:asciiTheme="majorHAnsi" w:eastAsia="黑体" w:hAnsiTheme="majorHAnsi" w:cstheme="majorBidi"/>
      <w:sz w:val="20"/>
      <w:szCs w:val="20"/>
    </w:rPr>
  </w:style>
  <w:style w:type="paragraph" w:styleId="a4">
    <w:name w:val="Balloon Text"/>
    <w:basedOn w:val="a"/>
    <w:link w:val="Char"/>
    <w:uiPriority w:val="99"/>
    <w:semiHidden/>
    <w:unhideWhenUsed/>
    <w:qFormat/>
    <w:rsid w:val="00AE56C0"/>
    <w:pPr>
      <w:spacing w:line="240" w:lineRule="auto"/>
    </w:pPr>
    <w:rPr>
      <w:sz w:val="18"/>
      <w:szCs w:val="18"/>
    </w:rPr>
  </w:style>
  <w:style w:type="paragraph" w:styleId="a5">
    <w:name w:val="footer"/>
    <w:basedOn w:val="a"/>
    <w:link w:val="Char0"/>
    <w:uiPriority w:val="99"/>
    <w:unhideWhenUsed/>
    <w:qFormat/>
    <w:rsid w:val="00AE56C0"/>
    <w:pPr>
      <w:tabs>
        <w:tab w:val="center" w:pos="4153"/>
        <w:tab w:val="right" w:pos="8306"/>
      </w:tabs>
      <w:snapToGrid w:val="0"/>
      <w:spacing w:line="240" w:lineRule="auto"/>
      <w:jc w:val="left"/>
    </w:pPr>
    <w:rPr>
      <w:sz w:val="18"/>
      <w:szCs w:val="18"/>
    </w:rPr>
  </w:style>
  <w:style w:type="paragraph" w:styleId="a6">
    <w:name w:val="header"/>
    <w:basedOn w:val="a"/>
    <w:link w:val="Char1"/>
    <w:uiPriority w:val="99"/>
    <w:unhideWhenUsed/>
    <w:qFormat/>
    <w:rsid w:val="00AE56C0"/>
    <w:pPr>
      <w:pBdr>
        <w:bottom w:val="single" w:sz="6" w:space="1" w:color="auto"/>
      </w:pBdr>
      <w:tabs>
        <w:tab w:val="center" w:pos="4153"/>
        <w:tab w:val="right" w:pos="8306"/>
      </w:tabs>
      <w:snapToGrid w:val="0"/>
      <w:spacing w:line="240" w:lineRule="auto"/>
      <w:jc w:val="center"/>
    </w:pPr>
    <w:rPr>
      <w:sz w:val="18"/>
      <w:szCs w:val="18"/>
    </w:rPr>
  </w:style>
  <w:style w:type="table" w:styleId="a7">
    <w:name w:val="Table Grid"/>
    <w:basedOn w:val="a1"/>
    <w:uiPriority w:val="39"/>
    <w:qFormat/>
    <w:rsid w:val="00AE5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sid w:val="00AE56C0"/>
    <w:rPr>
      <w:rFonts w:asciiTheme="majorHAnsi" w:eastAsia="黑体" w:hAnsiTheme="majorHAnsi" w:cstheme="majorBidi"/>
      <w:b/>
      <w:bCs/>
      <w:sz w:val="30"/>
      <w:szCs w:val="32"/>
    </w:rPr>
  </w:style>
  <w:style w:type="character" w:customStyle="1" w:styleId="3Char">
    <w:name w:val="标题 3 Char"/>
    <w:basedOn w:val="a0"/>
    <w:link w:val="3"/>
    <w:uiPriority w:val="9"/>
    <w:qFormat/>
    <w:rsid w:val="00AE56C0"/>
    <w:rPr>
      <w:rFonts w:eastAsia="黑体"/>
      <w:b/>
      <w:bCs/>
      <w:sz w:val="28"/>
      <w:szCs w:val="32"/>
    </w:rPr>
  </w:style>
  <w:style w:type="character" w:customStyle="1" w:styleId="4Char">
    <w:name w:val="标题 4 Char"/>
    <w:basedOn w:val="a0"/>
    <w:link w:val="4"/>
    <w:uiPriority w:val="9"/>
    <w:qFormat/>
    <w:rsid w:val="00AE56C0"/>
    <w:rPr>
      <w:rFonts w:asciiTheme="majorHAnsi" w:eastAsia="黑体" w:hAnsiTheme="majorHAnsi" w:cstheme="majorBidi"/>
      <w:b/>
      <w:bCs/>
      <w:sz w:val="24"/>
      <w:szCs w:val="28"/>
    </w:rPr>
  </w:style>
  <w:style w:type="paragraph" w:styleId="a8">
    <w:name w:val="List Paragraph"/>
    <w:basedOn w:val="a"/>
    <w:uiPriority w:val="34"/>
    <w:qFormat/>
    <w:rsid w:val="00AE56C0"/>
    <w:pPr>
      <w:ind w:firstLineChars="200" w:firstLine="420"/>
    </w:pPr>
    <w:rPr>
      <w:rFonts w:eastAsia="仿宋"/>
      <w:sz w:val="28"/>
    </w:rPr>
  </w:style>
  <w:style w:type="character" w:customStyle="1" w:styleId="1Char">
    <w:name w:val="标题 1 Char"/>
    <w:basedOn w:val="a0"/>
    <w:link w:val="1"/>
    <w:uiPriority w:val="9"/>
    <w:qFormat/>
    <w:rsid w:val="00AE56C0"/>
    <w:rPr>
      <w:rFonts w:ascii="宋体" w:eastAsia="黑体" w:hAnsi="宋体"/>
      <w:b/>
      <w:bCs/>
      <w:kern w:val="44"/>
      <w:sz w:val="44"/>
      <w:szCs w:val="44"/>
    </w:rPr>
  </w:style>
  <w:style w:type="character" w:customStyle="1" w:styleId="Char1">
    <w:name w:val="页眉 Char"/>
    <w:basedOn w:val="a0"/>
    <w:link w:val="a6"/>
    <w:uiPriority w:val="99"/>
    <w:qFormat/>
    <w:rsid w:val="00AE56C0"/>
    <w:rPr>
      <w:rFonts w:ascii="宋体" w:eastAsia="宋体" w:hAnsi="宋体"/>
      <w:sz w:val="18"/>
      <w:szCs w:val="18"/>
    </w:rPr>
  </w:style>
  <w:style w:type="character" w:customStyle="1" w:styleId="Char0">
    <w:name w:val="页脚 Char"/>
    <w:basedOn w:val="a0"/>
    <w:link w:val="a5"/>
    <w:uiPriority w:val="99"/>
    <w:qFormat/>
    <w:rsid w:val="00AE56C0"/>
    <w:rPr>
      <w:rFonts w:ascii="宋体" w:eastAsia="宋体" w:hAnsi="宋体"/>
      <w:sz w:val="18"/>
      <w:szCs w:val="18"/>
    </w:rPr>
  </w:style>
  <w:style w:type="character" w:customStyle="1" w:styleId="Char">
    <w:name w:val="批注框文本 Char"/>
    <w:basedOn w:val="a0"/>
    <w:link w:val="a4"/>
    <w:uiPriority w:val="99"/>
    <w:semiHidden/>
    <w:qFormat/>
    <w:rsid w:val="00AE56C0"/>
    <w:rPr>
      <w:rFonts w:ascii="宋体" w:eastAsia="宋体" w:hAnsi="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5</Pages>
  <Words>315</Words>
  <Characters>1800</Characters>
  <Application>Microsoft Office Word</Application>
  <DocSecurity>0</DocSecurity>
  <Lines>15</Lines>
  <Paragraphs>4</Paragraphs>
  <ScaleCrop>false</ScaleCrop>
  <Company>Lenovo</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于跃</cp:lastModifiedBy>
  <cp:revision>89</cp:revision>
  <cp:lastPrinted>2020-10-26T07:17:00Z</cp:lastPrinted>
  <dcterms:created xsi:type="dcterms:W3CDTF">2018-07-30T14:42:00Z</dcterms:created>
  <dcterms:modified xsi:type="dcterms:W3CDTF">2020-10-27T01:46:00Z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2052-10.1.0.7978</vt:lpwstr>
  </property>
</Properties>
</file>